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4E6" w:rsidRPr="006D34E6" w:rsidRDefault="006D34E6" w:rsidP="006D34E6">
      <w:pPr>
        <w:rPr>
          <w:b/>
          <w:lang w:val="en-US"/>
        </w:rPr>
      </w:pPr>
      <w:r w:rsidRPr="006D34E6">
        <w:rPr>
          <w:b/>
          <w:lang w:val="en-US"/>
        </w:rPr>
        <w:t>Food and Agriculture Organization of the United Nations</w:t>
      </w:r>
    </w:p>
    <w:p w:rsidR="006D34E6" w:rsidRPr="006D34E6" w:rsidRDefault="006D34E6" w:rsidP="006D34E6">
      <w:pPr>
        <w:rPr>
          <w:rStyle w:val="rynqvb"/>
          <w:b/>
        </w:rPr>
      </w:pPr>
      <w:r w:rsidRPr="006D34E6">
        <w:rPr>
          <w:rStyle w:val="hgkelc"/>
          <w:b/>
          <w:bCs/>
        </w:rPr>
        <w:t>Organizacja Narodów Zjednoczonych do spraw Wyżywienia i Rolnictwa</w:t>
      </w:r>
      <w:r w:rsidRPr="006D34E6">
        <w:rPr>
          <w:rStyle w:val="hgkelc"/>
          <w:b/>
        </w:rPr>
        <w:t>.</w:t>
      </w:r>
    </w:p>
    <w:p w:rsidR="006D34E6" w:rsidRPr="006D34E6" w:rsidRDefault="006D34E6">
      <w:pPr>
        <w:rPr>
          <w:rStyle w:val="rynqvb"/>
        </w:rPr>
      </w:pPr>
    </w:p>
    <w:p w:rsidR="004F07D6" w:rsidRDefault="006D34E6">
      <w:pPr>
        <w:rPr>
          <w:rStyle w:val="rynqvb"/>
        </w:rPr>
      </w:pPr>
      <w:r>
        <w:rPr>
          <w:rStyle w:val="rynqvb"/>
        </w:rPr>
        <w:t>FAO OSTRZEGA KRAJE BLISKIEGO WSCHODU I ZACHODNIEJ EURAZJI W CELU ZWIĘKSZENIA PRZYGOTOWANIA NA PRYSZCZYCĘ 10 lutego 2023 r</w:t>
      </w:r>
    </w:p>
    <w:p w:rsidR="006D34E6" w:rsidRDefault="006D34E6">
      <w:pPr>
        <w:rPr>
          <w:rStyle w:val="rynqvb"/>
        </w:rPr>
      </w:pPr>
    </w:p>
    <w:p w:rsidR="006D34E6" w:rsidRPr="006D34E6" w:rsidRDefault="006D34E6">
      <w:pPr>
        <w:rPr>
          <w:rStyle w:val="rynqvb"/>
          <w:b/>
        </w:rPr>
      </w:pPr>
      <w:r w:rsidRPr="006D34E6">
        <w:rPr>
          <w:rStyle w:val="rynqvb"/>
          <w:b/>
        </w:rPr>
        <w:t xml:space="preserve">Kluczowe fakty: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 xml:space="preserve">1. </w:t>
      </w:r>
      <w:r w:rsidRPr="006D34E6">
        <w:rPr>
          <w:rStyle w:val="rynqvb"/>
          <w:b/>
        </w:rPr>
        <w:t>Pryszczyca (FMD)</w:t>
      </w:r>
      <w:r>
        <w:rPr>
          <w:rStyle w:val="rynqvb"/>
        </w:rPr>
        <w:t xml:space="preserve"> jest wysoce zaraźliwą chorobą wirusową atakującą bydło, owce, kozy, świnie i inne zwierzęta parzystokopytne.</w:t>
      </w:r>
      <w:r>
        <w:rPr>
          <w:rStyle w:val="hwtze"/>
        </w:rPr>
        <w:t xml:space="preserve"> </w:t>
      </w:r>
      <w:r>
        <w:rPr>
          <w:rStyle w:val="rynqvb"/>
        </w:rPr>
        <w:t xml:space="preserve">Chociaż pryszczyca nie stanowi zagrożenia dla zdrowia ludzkiego, poważnie wpływa na bezpieczeństwo żywnościowe, źródła utrzymania oraz rynki krajowe i międzynarodowe.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 xml:space="preserve">2. Istnieje </w:t>
      </w:r>
      <w:r w:rsidRPr="006D34E6">
        <w:rPr>
          <w:rStyle w:val="rynqvb"/>
          <w:b/>
        </w:rPr>
        <w:t xml:space="preserve">siedem </w:t>
      </w:r>
      <w:proofErr w:type="spellStart"/>
      <w:r w:rsidRPr="006D34E6">
        <w:rPr>
          <w:rStyle w:val="rynqvb"/>
          <w:b/>
        </w:rPr>
        <w:t>serotypów</w:t>
      </w:r>
      <w:proofErr w:type="spellEnd"/>
      <w:r w:rsidRPr="006D34E6">
        <w:rPr>
          <w:rStyle w:val="rynqvb"/>
          <w:b/>
        </w:rPr>
        <w:t xml:space="preserve"> wirusa pryszczycy</w:t>
      </w:r>
      <w:r>
        <w:rPr>
          <w:rStyle w:val="rynqvb"/>
        </w:rPr>
        <w:t xml:space="preserve"> (A, O, C, SAT1, SAT2, SAT3 i Asia1).</w:t>
      </w:r>
      <w:r>
        <w:rPr>
          <w:rStyle w:val="hwtze"/>
        </w:rPr>
        <w:t xml:space="preserve"> </w:t>
      </w:r>
      <w:r>
        <w:rPr>
          <w:rStyle w:val="rynqvb"/>
        </w:rPr>
        <w:t xml:space="preserve">Odporność </w:t>
      </w:r>
      <w:r>
        <w:rPr>
          <w:rStyle w:val="rynqvb"/>
        </w:rPr>
        <w:t>uzyskana po</w:t>
      </w:r>
      <w:r>
        <w:rPr>
          <w:rStyle w:val="rynqvb"/>
        </w:rPr>
        <w:t>infekc</w:t>
      </w:r>
      <w:r>
        <w:rPr>
          <w:rStyle w:val="rynqvb"/>
        </w:rPr>
        <w:t>yjnie</w:t>
      </w:r>
      <w:r>
        <w:rPr>
          <w:rStyle w:val="rynqvb"/>
        </w:rPr>
        <w:t xml:space="preserve"> lub </w:t>
      </w:r>
      <w:r>
        <w:rPr>
          <w:rStyle w:val="rynqvb"/>
        </w:rPr>
        <w:t>po</w:t>
      </w:r>
      <w:r>
        <w:rPr>
          <w:rStyle w:val="rynqvb"/>
        </w:rPr>
        <w:t>szczepie</w:t>
      </w:r>
      <w:r>
        <w:rPr>
          <w:rStyle w:val="rynqvb"/>
        </w:rPr>
        <w:t>n</w:t>
      </w:r>
      <w:r>
        <w:rPr>
          <w:rStyle w:val="rynqvb"/>
        </w:rPr>
        <w:t xml:space="preserve">nie jest specyficzna dla </w:t>
      </w:r>
      <w:proofErr w:type="spellStart"/>
      <w:r>
        <w:rPr>
          <w:rStyle w:val="rynqvb"/>
        </w:rPr>
        <w:t>serotypu</w:t>
      </w:r>
      <w:proofErr w:type="spellEnd"/>
      <w:r>
        <w:rPr>
          <w:rStyle w:val="rynqvb"/>
        </w:rPr>
        <w:t xml:space="preserve"> i nie zapewnia ochrony przed innymi </w:t>
      </w:r>
      <w:proofErr w:type="spellStart"/>
      <w:r>
        <w:rPr>
          <w:rStyle w:val="rynqvb"/>
        </w:rPr>
        <w:t>serotypami</w:t>
      </w:r>
      <w:proofErr w:type="spellEnd"/>
      <w:r>
        <w:rPr>
          <w:rStyle w:val="rynqvb"/>
        </w:rPr>
        <w:t xml:space="preserve">.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 xml:space="preserve">3. </w:t>
      </w:r>
      <w:r w:rsidRPr="006D34E6">
        <w:rPr>
          <w:rStyle w:val="rynqvb"/>
          <w:b/>
        </w:rPr>
        <w:t>Objawy kliniczne</w:t>
      </w:r>
      <w:r>
        <w:rPr>
          <w:rStyle w:val="rynqvb"/>
        </w:rPr>
        <w:t xml:space="preserve">: U zarażonych zwierząt pojawia się gorączka </w:t>
      </w:r>
      <w:r>
        <w:rPr>
          <w:rStyle w:val="rynqvb"/>
        </w:rPr>
        <w:t>i pęcherze/owrzodzenia na dystalnych częściach kończyn</w:t>
      </w:r>
      <w:r>
        <w:rPr>
          <w:rStyle w:val="rynqvb"/>
        </w:rPr>
        <w:t>, w jamie ustnej, nosie, pysku i sutkach.</w:t>
      </w:r>
      <w:r>
        <w:rPr>
          <w:rStyle w:val="hwtze"/>
        </w:rPr>
        <w:t xml:space="preserve"> </w:t>
      </w:r>
      <w:r>
        <w:rPr>
          <w:rStyle w:val="rynqvb"/>
        </w:rPr>
        <w:t>Obserwuje się depresję, utratę apetytu, utratę masy ciała, kulawiznę i spadek laktacji.</w:t>
      </w:r>
      <w:r>
        <w:rPr>
          <w:rStyle w:val="hwtze"/>
        </w:rPr>
        <w:t xml:space="preserve"> </w:t>
      </w:r>
      <w:r>
        <w:rPr>
          <w:rStyle w:val="rynqvb"/>
        </w:rPr>
        <w:t xml:space="preserve">Niektóre zwierzęta mogą być zakażone </w:t>
      </w:r>
      <w:proofErr w:type="spellStart"/>
      <w:r>
        <w:rPr>
          <w:rStyle w:val="rynqvb"/>
        </w:rPr>
        <w:t>subklinicznie</w:t>
      </w:r>
      <w:proofErr w:type="spellEnd"/>
      <w:r>
        <w:rPr>
          <w:rStyle w:val="rynqvb"/>
        </w:rPr>
        <w:t>, zwłaszcza małe przeżuwacze.</w:t>
      </w:r>
      <w:r>
        <w:rPr>
          <w:rStyle w:val="hwtze"/>
        </w:rPr>
        <w:t xml:space="preserve"> </w:t>
      </w:r>
      <w:r>
        <w:rPr>
          <w:rStyle w:val="rynqvb"/>
        </w:rPr>
        <w:t xml:space="preserve">Młodsze zwierzęta mogą umrzeć z powodu nagłej niewydolności serca.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 xml:space="preserve">4. </w:t>
      </w:r>
      <w:r w:rsidRPr="006D34E6">
        <w:rPr>
          <w:rStyle w:val="rynqvb"/>
          <w:b/>
        </w:rPr>
        <w:t>Transmisja</w:t>
      </w:r>
      <w:r>
        <w:rPr>
          <w:rStyle w:val="rynqvb"/>
        </w:rPr>
        <w:t xml:space="preserve"> odbywa się drogą oddechową lub ustną.</w:t>
      </w:r>
      <w:r>
        <w:rPr>
          <w:rStyle w:val="hwtze"/>
        </w:rPr>
        <w:t xml:space="preserve"> </w:t>
      </w:r>
      <w:r>
        <w:rPr>
          <w:rStyle w:val="rynqvb"/>
        </w:rPr>
        <w:t>Zarażone zwierzęta wydalają wirusa we wszystkich wydzielinach (ślinie, moczu, kale, mleku).</w:t>
      </w:r>
      <w:r>
        <w:rPr>
          <w:rStyle w:val="hwtze"/>
        </w:rPr>
        <w:t xml:space="preserve"> </w:t>
      </w:r>
      <w:r>
        <w:rPr>
          <w:rStyle w:val="rynqvb"/>
        </w:rPr>
        <w:t>FMD zwykle rozprzestrzenia się poprzez przemieszczanie się zwierząt, ale może być również przenoszona przez zanieczyszczoną odzież, obuwie, sprzęt, pojazdy.</w:t>
      </w:r>
      <w:r>
        <w:rPr>
          <w:rStyle w:val="hwtze"/>
        </w:rPr>
        <w:t xml:space="preserve"> </w:t>
      </w:r>
      <w:r>
        <w:rPr>
          <w:rStyle w:val="rynqvb"/>
        </w:rPr>
        <w:t xml:space="preserve">Wirus może przetrwać w środowisku i produktach pochodzenia zwierzęcego.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>5</w:t>
      </w:r>
      <w:r w:rsidRPr="006D34E6">
        <w:rPr>
          <w:rStyle w:val="rynqvb"/>
          <w:b/>
        </w:rPr>
        <w:t>. Diagnoza</w:t>
      </w:r>
      <w:r>
        <w:rPr>
          <w:rStyle w:val="rynqvb"/>
        </w:rPr>
        <w:t>: Pierwsze ognisko na danym terenie powinno zostać potwierdzone przez laboratorium.</w:t>
      </w:r>
      <w:r>
        <w:rPr>
          <w:rStyle w:val="hwtze"/>
        </w:rPr>
        <w:t xml:space="preserve"> </w:t>
      </w:r>
      <w:r>
        <w:rPr>
          <w:rStyle w:val="rynqvb"/>
        </w:rPr>
        <w:t xml:space="preserve">Diagnostyka laboratoryjna jest również wymagana do określenia </w:t>
      </w:r>
      <w:proofErr w:type="spellStart"/>
      <w:r>
        <w:rPr>
          <w:rStyle w:val="rynqvb"/>
        </w:rPr>
        <w:t>serotypu</w:t>
      </w:r>
      <w:proofErr w:type="spellEnd"/>
      <w:r>
        <w:rPr>
          <w:rStyle w:val="rynqvb"/>
        </w:rPr>
        <w:t>, który wywołał zakażenie</w:t>
      </w:r>
      <w:r>
        <w:rPr>
          <w:rStyle w:val="rynqvb"/>
        </w:rPr>
        <w:t>.</w:t>
      </w:r>
      <w:r>
        <w:rPr>
          <w:rStyle w:val="hwtze"/>
        </w:rPr>
        <w:t xml:space="preserve"> </w:t>
      </w:r>
      <w:r>
        <w:rPr>
          <w:rStyle w:val="rynqvb"/>
        </w:rPr>
        <w:t xml:space="preserve">Odpowiednie </w:t>
      </w:r>
      <w:r>
        <w:rPr>
          <w:rStyle w:val="rynqvb"/>
        </w:rPr>
        <w:t xml:space="preserve">do oceny laboratoryjnej </w:t>
      </w:r>
      <w:r>
        <w:rPr>
          <w:rStyle w:val="rynqvb"/>
        </w:rPr>
        <w:t>próbki obejmują</w:t>
      </w:r>
      <w:r>
        <w:rPr>
          <w:rStyle w:val="rynqvb"/>
        </w:rPr>
        <w:t>:</w:t>
      </w:r>
      <w:r>
        <w:rPr>
          <w:rStyle w:val="rynqvb"/>
        </w:rPr>
        <w:t xml:space="preserve"> płyn pęcherzykowy lub nabłonek, krew lub surowicę.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 xml:space="preserve">6. </w:t>
      </w:r>
      <w:r w:rsidRPr="006D34E6">
        <w:rPr>
          <w:rStyle w:val="rynqvb"/>
          <w:b/>
        </w:rPr>
        <w:t>Zapobieganie</w:t>
      </w:r>
      <w:r>
        <w:rPr>
          <w:rStyle w:val="rynqvb"/>
        </w:rPr>
        <w:t>: Istotne jest, aby szczepionki były specyficzne dla krążących szczepów.</w:t>
      </w:r>
      <w:r>
        <w:rPr>
          <w:rStyle w:val="hwtze"/>
        </w:rPr>
        <w:t xml:space="preserve"> </w:t>
      </w:r>
      <w:r>
        <w:rPr>
          <w:rStyle w:val="rynqvb"/>
        </w:rPr>
        <w:t>Ponieważ pryszczyca jest wysoce</w:t>
      </w:r>
      <w:r>
        <w:rPr>
          <w:rStyle w:val="rynqvb"/>
        </w:rPr>
        <w:t xml:space="preserve"> zaraźliwa, potrzebne są dodatkowe środki, w tym ścisły nadzór, kontrola przemieszczania się i </w:t>
      </w:r>
      <w:proofErr w:type="spellStart"/>
      <w:r>
        <w:rPr>
          <w:rStyle w:val="rynqvb"/>
        </w:rPr>
        <w:t>bioasekuracja</w:t>
      </w:r>
      <w:proofErr w:type="spellEnd"/>
      <w:r>
        <w:rPr>
          <w:rStyle w:val="rynqvb"/>
        </w:rPr>
        <w:t>.</w:t>
      </w:r>
    </w:p>
    <w:p w:rsidR="006D34E6" w:rsidRDefault="006D34E6">
      <w:pPr>
        <w:rPr>
          <w:rStyle w:val="rynqvb"/>
        </w:rPr>
      </w:pPr>
    </w:p>
    <w:p w:rsidR="006D34E6" w:rsidRDefault="006D34E6">
      <w:pPr>
        <w:rPr>
          <w:rStyle w:val="rynqvb"/>
        </w:rPr>
      </w:pPr>
      <w:r w:rsidRPr="006D34E6">
        <w:rPr>
          <w:rStyle w:val="rynqvb"/>
          <w:b/>
        </w:rPr>
        <w:t>Pryszczyca (FMD)</w:t>
      </w:r>
      <w:r>
        <w:rPr>
          <w:rStyle w:val="rynqvb"/>
        </w:rPr>
        <w:t xml:space="preserve"> jest jedną z najbardziej zaraźliwych chorób zwierzęcych i dlatego uważa się, że </w:t>
      </w:r>
      <w:r>
        <w:rPr>
          <w:rStyle w:val="rynqvb"/>
        </w:rPr>
        <w:t xml:space="preserve">jej </w:t>
      </w:r>
      <w:r>
        <w:rPr>
          <w:rStyle w:val="rynqvb"/>
        </w:rPr>
        <w:t>monitorowani</w:t>
      </w:r>
      <w:r>
        <w:rPr>
          <w:rStyle w:val="rynqvb"/>
        </w:rPr>
        <w:t xml:space="preserve">e i zwalczanie </w:t>
      </w:r>
      <w:r>
        <w:rPr>
          <w:rStyle w:val="rynqvb"/>
        </w:rPr>
        <w:t xml:space="preserve">ma </w:t>
      </w:r>
      <w:r>
        <w:rPr>
          <w:rStyle w:val="rynqvb"/>
        </w:rPr>
        <w:t>największe znaczenie</w:t>
      </w:r>
      <w:r>
        <w:rPr>
          <w:rStyle w:val="rynqvb"/>
        </w:rPr>
        <w:t>.</w:t>
      </w:r>
      <w:r>
        <w:rPr>
          <w:rStyle w:val="hwtze"/>
        </w:rPr>
        <w:t xml:space="preserve"> </w:t>
      </w:r>
      <w:r>
        <w:rPr>
          <w:rStyle w:val="rynqvb"/>
        </w:rPr>
        <w:t>FMD nie powoduje chor</w:t>
      </w:r>
      <w:r>
        <w:rPr>
          <w:rStyle w:val="rynqvb"/>
        </w:rPr>
        <w:t>o</w:t>
      </w:r>
      <w:r>
        <w:rPr>
          <w:rStyle w:val="rynqvb"/>
        </w:rPr>
        <w:t>b</w:t>
      </w:r>
      <w:r>
        <w:rPr>
          <w:rStyle w:val="rynqvb"/>
        </w:rPr>
        <w:t>y</w:t>
      </w:r>
      <w:r>
        <w:rPr>
          <w:rStyle w:val="rynqvb"/>
        </w:rPr>
        <w:t xml:space="preserve"> u ludzi.</w:t>
      </w:r>
      <w:r>
        <w:rPr>
          <w:rStyle w:val="hwtze"/>
        </w:rPr>
        <w:t xml:space="preserve"> </w:t>
      </w:r>
      <w:r>
        <w:rPr>
          <w:rStyle w:val="rynqvb"/>
        </w:rPr>
        <w:t>Jednak jego skutki gospodarcze są poważne.</w:t>
      </w:r>
      <w:r>
        <w:rPr>
          <w:rStyle w:val="hwtze"/>
        </w:rPr>
        <w:t xml:space="preserve"> </w:t>
      </w:r>
      <w:r>
        <w:rPr>
          <w:rStyle w:val="rynqvb"/>
        </w:rPr>
        <w:t>Straty powodowane przez pryszczycę obejmują obniżenie parametrów produkcyjnych, takie jak</w:t>
      </w:r>
      <w:r>
        <w:rPr>
          <w:rStyle w:val="rynqvb"/>
        </w:rPr>
        <w:t>:</w:t>
      </w:r>
      <w:r>
        <w:rPr>
          <w:rStyle w:val="rynqvb"/>
        </w:rPr>
        <w:t xml:space="preserve"> spadki produkcji mleka i przyrostów masy ciała, niewydolność rozrodu i śmierć młodych zwierząt.</w:t>
      </w:r>
      <w:r>
        <w:rPr>
          <w:rStyle w:val="hwtze"/>
        </w:rPr>
        <w:t xml:space="preserve"> </w:t>
      </w:r>
      <w:r>
        <w:rPr>
          <w:rStyle w:val="rynqvb"/>
        </w:rPr>
        <w:t>Ponadto zarażone zwierzęta pociągowe nie są zdolne do pracy, więc jeśli zwierzęta są wykorzystywane do uprawy ziemi, może to również wpływać na produkcję zboża.</w:t>
      </w:r>
      <w:r>
        <w:rPr>
          <w:rStyle w:val="hwtze"/>
        </w:rPr>
        <w:t xml:space="preserve"> </w:t>
      </w:r>
      <w:r>
        <w:rPr>
          <w:rStyle w:val="rynqvb"/>
        </w:rPr>
        <w:t xml:space="preserve">Koszty zapobiegania i kontroli z ograniczeniami zarówno w handlu lokalnym, jak i międzynarodowym są wysokie, co wpływa na bezpieczeństwo żywnościowe i źródła utrzymania wzdłuż łańcuchów wartości. </w:t>
      </w:r>
    </w:p>
    <w:p w:rsidR="006D34E6" w:rsidRDefault="006D34E6">
      <w:pPr>
        <w:rPr>
          <w:rStyle w:val="rynqvb"/>
        </w:rPr>
      </w:pPr>
      <w:r>
        <w:rPr>
          <w:rStyle w:val="rynqvb"/>
        </w:rPr>
        <w:lastRenderedPageBreak/>
        <w:t xml:space="preserve">Od grudnia 2022 r. w Iraku wykryto nieoczekiwany wzrost </w:t>
      </w:r>
      <w:r>
        <w:rPr>
          <w:rStyle w:val="rynqvb"/>
        </w:rPr>
        <w:t xml:space="preserve">liczby </w:t>
      </w:r>
      <w:r>
        <w:rPr>
          <w:rStyle w:val="rynqvb"/>
        </w:rPr>
        <w:t>ognisk pryszczycy.</w:t>
      </w:r>
      <w:r>
        <w:rPr>
          <w:rStyle w:val="hwtze"/>
        </w:rPr>
        <w:t xml:space="preserve"> </w:t>
      </w:r>
      <w:r>
        <w:rPr>
          <w:rStyle w:val="rynqvb"/>
        </w:rPr>
        <w:t xml:space="preserve">Próbki przesłano </w:t>
      </w:r>
      <w:r>
        <w:rPr>
          <w:rStyle w:val="rynqvb"/>
        </w:rPr>
        <w:t>do Instytutu FMD (SAP) w Turcji, a</w:t>
      </w:r>
      <w:r>
        <w:rPr>
          <w:rStyle w:val="rynqvb"/>
        </w:rPr>
        <w:t xml:space="preserve"> 3 lutego 2023 roku poinformowano, że wirus </w:t>
      </w:r>
      <w:r>
        <w:rPr>
          <w:rStyle w:val="rynqvb"/>
        </w:rPr>
        <w:t>powodujący zakażenia</w:t>
      </w:r>
      <w:r>
        <w:rPr>
          <w:rStyle w:val="rynqvb"/>
        </w:rPr>
        <w:t xml:space="preserve"> należy do </w:t>
      </w:r>
      <w:proofErr w:type="spellStart"/>
      <w:r>
        <w:rPr>
          <w:rStyle w:val="rynqvb"/>
        </w:rPr>
        <w:t>serotypu</w:t>
      </w:r>
      <w:proofErr w:type="spellEnd"/>
      <w:r>
        <w:rPr>
          <w:rStyle w:val="rynqvb"/>
        </w:rPr>
        <w:t xml:space="preserve"> SAT2, czyli </w:t>
      </w:r>
      <w:proofErr w:type="spellStart"/>
      <w:r>
        <w:rPr>
          <w:rStyle w:val="rynqvb"/>
        </w:rPr>
        <w:t>topotypu</w:t>
      </w:r>
      <w:proofErr w:type="spellEnd"/>
      <w:r>
        <w:rPr>
          <w:rStyle w:val="rynqvb"/>
        </w:rPr>
        <w:t xml:space="preserve"> XIV i jest najbliżej spokrewniony ze szczepami SAT2 z Etiopii.</w:t>
      </w:r>
      <w:r>
        <w:rPr>
          <w:rStyle w:val="hwtze"/>
        </w:rPr>
        <w:t xml:space="preserve"> </w:t>
      </w:r>
      <w:r>
        <w:rPr>
          <w:rStyle w:val="rynqvb"/>
        </w:rPr>
        <w:t>Droga wtargnięcia tego wirusa do Iraku pozostaje przedmiotem badań.</w:t>
      </w:r>
      <w:r>
        <w:rPr>
          <w:rStyle w:val="hwtze"/>
        </w:rPr>
        <w:t xml:space="preserve"> </w:t>
      </w:r>
      <w:r>
        <w:rPr>
          <w:rStyle w:val="rynqvb"/>
        </w:rPr>
        <w:t xml:space="preserve">Na dzień 3 lutego zgłoszono dziewięć ognisk choroby u bydła, bawołów i owiec.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 xml:space="preserve">Jordania </w:t>
      </w:r>
      <w:r>
        <w:rPr>
          <w:rStyle w:val="rynqvb"/>
        </w:rPr>
        <w:t>zwalcza</w:t>
      </w:r>
      <w:r>
        <w:rPr>
          <w:rStyle w:val="rynqvb"/>
        </w:rPr>
        <w:t xml:space="preserve"> ogniska pryszczycy wywołane </w:t>
      </w:r>
      <w:proofErr w:type="spellStart"/>
      <w:r>
        <w:rPr>
          <w:rStyle w:val="rynqvb"/>
        </w:rPr>
        <w:t>serotypem</w:t>
      </w:r>
      <w:proofErr w:type="spellEnd"/>
      <w:r>
        <w:rPr>
          <w:rStyle w:val="rynqvb"/>
        </w:rPr>
        <w:t xml:space="preserve"> O od grudnia 2021 r., a falę ognisk obserwowaną w grudniu 2022 r. początkowo przypisywano temu </w:t>
      </w:r>
      <w:proofErr w:type="spellStart"/>
      <w:r>
        <w:rPr>
          <w:rStyle w:val="rynqvb"/>
        </w:rPr>
        <w:t>serotypowi</w:t>
      </w:r>
      <w:proofErr w:type="spellEnd"/>
      <w:r>
        <w:rPr>
          <w:rStyle w:val="rynqvb"/>
        </w:rPr>
        <w:t>.</w:t>
      </w:r>
      <w:r>
        <w:rPr>
          <w:rStyle w:val="hwtze"/>
        </w:rPr>
        <w:t xml:space="preserve"> </w:t>
      </w:r>
      <w:r>
        <w:rPr>
          <w:rStyle w:val="rynqvb"/>
        </w:rPr>
        <w:t xml:space="preserve">W dniu 5 lutego 2023 r. media poinformowały, że w Jordanii wykryto </w:t>
      </w:r>
      <w:proofErr w:type="spellStart"/>
      <w:r>
        <w:rPr>
          <w:rStyle w:val="rynqvb"/>
        </w:rPr>
        <w:t>serotyp</w:t>
      </w:r>
      <w:proofErr w:type="spellEnd"/>
      <w:r>
        <w:rPr>
          <w:rStyle w:val="rynqvb"/>
        </w:rPr>
        <w:t xml:space="preserve"> SAT2.</w:t>
      </w:r>
      <w:r>
        <w:rPr>
          <w:rStyle w:val="hwtze"/>
        </w:rPr>
        <w:t xml:space="preserve"> </w:t>
      </w:r>
      <w:proofErr w:type="spellStart"/>
      <w:r>
        <w:rPr>
          <w:rStyle w:val="rynqvb"/>
        </w:rPr>
        <w:t>Serotyp</w:t>
      </w:r>
      <w:proofErr w:type="spellEnd"/>
      <w:r>
        <w:rPr>
          <w:rStyle w:val="rynqvb"/>
        </w:rPr>
        <w:t xml:space="preserve"> SAT2 zwykle krąży w Afryce.</w:t>
      </w:r>
      <w:r>
        <w:rPr>
          <w:rStyle w:val="hwtze"/>
        </w:rPr>
        <w:t xml:space="preserve"> </w:t>
      </w:r>
      <w:r>
        <w:rPr>
          <w:rStyle w:val="rynqvb"/>
        </w:rPr>
        <w:t>Był w dużej mierze ograniczony na południe od Sahary do 2012 roku, kiedy to w Egipcie i Libii wybuchła duża epidemia.</w:t>
      </w:r>
      <w:r>
        <w:rPr>
          <w:rStyle w:val="hwtze"/>
        </w:rPr>
        <w:t xml:space="preserve"> </w:t>
      </w:r>
      <w:r>
        <w:rPr>
          <w:rStyle w:val="rynqvb"/>
        </w:rPr>
        <w:t xml:space="preserve">Były już wcześniejsze wtargnięcia SAT2 na Bliski Wschód w 1990 (Jemen), 2000 (Arabia Saudyjska) i 2012 (Bahrajn i Strefa Gazy), które zostały powstrzymane i wyeliminowane, prawdopodobnie dzięki szybkiej reakcji.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>Zarówno Irak, jak i Jordania znajdują się</w:t>
      </w:r>
      <w:r>
        <w:rPr>
          <w:rStyle w:val="rynqvb"/>
        </w:rPr>
        <w:t xml:space="preserve"> w obszarze 3 dla</w:t>
      </w:r>
      <w:r>
        <w:rPr>
          <w:rStyle w:val="rynqvb"/>
        </w:rPr>
        <w:t xml:space="preserve"> wirusów pryszczycy, w której zwykle krążą </w:t>
      </w:r>
      <w:proofErr w:type="spellStart"/>
      <w:r>
        <w:rPr>
          <w:rStyle w:val="rynqvb"/>
        </w:rPr>
        <w:t>serotypy</w:t>
      </w:r>
      <w:proofErr w:type="spellEnd"/>
      <w:r>
        <w:rPr>
          <w:rStyle w:val="rynqvb"/>
        </w:rPr>
        <w:t xml:space="preserve"> O, A i Asia 1.</w:t>
      </w:r>
      <w:r>
        <w:rPr>
          <w:rStyle w:val="hwtze"/>
        </w:rPr>
        <w:t xml:space="preserve"> </w:t>
      </w:r>
      <w:r>
        <w:rPr>
          <w:rStyle w:val="rynqvb"/>
        </w:rPr>
        <w:t>W Iraku, Jordanii i krajach sąsiednich żyje ponad 170 milionów podatnych zwierząt</w:t>
      </w:r>
      <w:r>
        <w:rPr>
          <w:rStyle w:val="rynqvb"/>
        </w:rPr>
        <w:t>(</w:t>
      </w:r>
      <w:r>
        <w:rPr>
          <w:rStyle w:val="rynqvb"/>
        </w:rPr>
        <w:t>1</w:t>
      </w:r>
      <w:r>
        <w:rPr>
          <w:rStyle w:val="rynqvb"/>
        </w:rPr>
        <w:t>)</w:t>
      </w:r>
      <w:r>
        <w:rPr>
          <w:rStyle w:val="rynqvb"/>
        </w:rPr>
        <w:t>, które nigdy nie były szczepione przeciwko SAT2.</w:t>
      </w:r>
      <w:r>
        <w:rPr>
          <w:rStyle w:val="hwtze"/>
        </w:rPr>
        <w:t xml:space="preserve"> </w:t>
      </w:r>
      <w:r>
        <w:rPr>
          <w:rStyle w:val="rynqvb"/>
        </w:rPr>
        <w:t>FMD w tej populacji</w:t>
      </w:r>
      <w:r>
        <w:rPr>
          <w:rStyle w:val="rynqvb"/>
        </w:rPr>
        <w:t xml:space="preserve"> </w:t>
      </w:r>
      <w:r>
        <w:rPr>
          <w:rStyle w:val="rynqvb"/>
        </w:rPr>
        <w:t xml:space="preserve">może rozprzestrzeniać się </w:t>
      </w:r>
      <w:r>
        <w:rPr>
          <w:rStyle w:val="rynqvb"/>
        </w:rPr>
        <w:t>niezwykle szybko</w:t>
      </w:r>
      <w:r>
        <w:rPr>
          <w:rStyle w:val="rynqvb"/>
        </w:rPr>
        <w:t>.</w:t>
      </w:r>
      <w:r>
        <w:rPr>
          <w:rStyle w:val="hwtze"/>
        </w:rPr>
        <w:t xml:space="preserve"> </w:t>
      </w:r>
      <w:r>
        <w:rPr>
          <w:rStyle w:val="rynqvb"/>
        </w:rPr>
        <w:t>Pilnie potrzebne są zwiększona</w:t>
      </w:r>
      <w:r>
        <w:rPr>
          <w:rStyle w:val="rynqvb"/>
        </w:rPr>
        <w:t xml:space="preserve"> </w:t>
      </w:r>
      <w:r>
        <w:rPr>
          <w:rStyle w:val="rynqvb"/>
        </w:rPr>
        <w:t xml:space="preserve">bioasekuracji </w:t>
      </w:r>
      <w:r>
        <w:rPr>
          <w:rStyle w:val="rynqvb"/>
        </w:rPr>
        <w:t>i szczepienia.</w:t>
      </w:r>
      <w:r>
        <w:rPr>
          <w:rStyle w:val="hwtze"/>
        </w:rPr>
        <w:t xml:space="preserve"> </w:t>
      </w:r>
      <w:r>
        <w:rPr>
          <w:rStyle w:val="rynqvb"/>
        </w:rPr>
        <w:t>Rozpoczęto analizę mającą na celu identyfikację dostępnych szczepionek dopasowanych do szczepu epidemii</w:t>
      </w:r>
      <w:r>
        <w:rPr>
          <w:rStyle w:val="rynqvb"/>
        </w:rPr>
        <w:t>.</w:t>
      </w:r>
      <w:r>
        <w:rPr>
          <w:rStyle w:val="rynqvb"/>
        </w:rPr>
        <w:t xml:space="preserve"> </w:t>
      </w:r>
    </w:p>
    <w:p w:rsidR="006D34E6" w:rsidRPr="006D34E6" w:rsidRDefault="006D34E6">
      <w:pPr>
        <w:rPr>
          <w:rStyle w:val="rynqvb"/>
          <w:lang w:val="en-US"/>
        </w:rPr>
      </w:pPr>
      <w:r w:rsidRPr="006D34E6">
        <w:rPr>
          <w:rStyle w:val="rynqvb"/>
          <w:lang w:val="en-US"/>
        </w:rPr>
        <w:t>[</w:t>
      </w:r>
      <w:r w:rsidRPr="006D34E6">
        <w:rPr>
          <w:rStyle w:val="rynqvb"/>
          <w:lang w:val="en-US"/>
        </w:rPr>
        <w:t xml:space="preserve">SAT2. 1 </w:t>
      </w:r>
      <w:proofErr w:type="spellStart"/>
      <w:r w:rsidRPr="006D34E6">
        <w:rPr>
          <w:rStyle w:val="rynqvb"/>
          <w:lang w:val="en-US"/>
        </w:rPr>
        <w:t>Źródło</w:t>
      </w:r>
      <w:proofErr w:type="spellEnd"/>
      <w:r w:rsidRPr="006D34E6">
        <w:rPr>
          <w:rStyle w:val="rynqvb"/>
          <w:lang w:val="en-US"/>
        </w:rPr>
        <w:t>: Gridded Livestock of the World v4 (GLW4) – 2015 (</w:t>
      </w:r>
      <w:hyperlink r:id="rId5" w:history="1">
        <w:r w:rsidRPr="006D34E6">
          <w:rPr>
            <w:rStyle w:val="Hipercze"/>
            <w:lang w:val="en-US"/>
          </w:rPr>
          <w:t>https://data.apps.fao.org/catalog//iso/15f8c56c-5499-45d5-bd89-59ef6c026704</w:t>
        </w:r>
      </w:hyperlink>
      <w:r w:rsidRPr="006D34E6">
        <w:rPr>
          <w:rStyle w:val="rynqvb"/>
          <w:lang w:val="en-US"/>
        </w:rPr>
        <w:t>)</w:t>
      </w:r>
      <w:r>
        <w:rPr>
          <w:rStyle w:val="rynqvb"/>
          <w:lang w:val="en-US"/>
        </w:rPr>
        <w:t>]</w:t>
      </w:r>
    </w:p>
    <w:p w:rsidR="006D34E6" w:rsidRDefault="006D34E6">
      <w:pPr>
        <w:rPr>
          <w:rStyle w:val="rynqvb"/>
        </w:rPr>
      </w:pPr>
      <w:r>
        <w:rPr>
          <w:rStyle w:val="rynqvb"/>
        </w:rPr>
        <w:t>Rycina 1. Ogniska pryszczycy odnotowane na Bliskim Wschodzie i w Zachodniej Eurazji pomiędzy 1 grudnia 2022 r. – 7 lutego 2023 r., z dużymi przeżuwaczami (a) i małymi przeżuwaczami (b) warstwy gęstości skorygowane na FAOSTAT 2015 (GLW4*)</w:t>
      </w:r>
    </w:p>
    <w:p w:rsidR="006D34E6" w:rsidRDefault="006D34E6">
      <w:r w:rsidRPr="006D34E6">
        <w:rPr>
          <w:noProof/>
          <w:lang w:eastAsia="pl-PL"/>
        </w:rPr>
        <w:drawing>
          <wp:inline distT="0" distB="0" distL="0" distR="0">
            <wp:extent cx="5760720" cy="40646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E6" w:rsidRDefault="006D34E6">
      <w:r w:rsidRPr="006D34E6">
        <w:rPr>
          <w:noProof/>
          <w:lang w:eastAsia="pl-PL"/>
        </w:rPr>
        <w:lastRenderedPageBreak/>
        <w:drawing>
          <wp:inline distT="0" distB="0" distL="0" distR="0">
            <wp:extent cx="5760720" cy="40646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E6" w:rsidRDefault="006D34E6">
      <w:pPr>
        <w:rPr>
          <w:rStyle w:val="rynqvb"/>
        </w:rPr>
      </w:pPr>
      <w:r>
        <w:rPr>
          <w:rStyle w:val="rynqvb"/>
        </w:rPr>
        <w:t xml:space="preserve">Źródło: Organizacja Narodów Zjednoczonych ds. </w:t>
      </w:r>
      <w:proofErr w:type="spellStart"/>
      <w:r>
        <w:rPr>
          <w:rStyle w:val="rynqvb"/>
        </w:rPr>
        <w:t>Geoprzestrzennych</w:t>
      </w:r>
      <w:proofErr w:type="spellEnd"/>
      <w:r>
        <w:rPr>
          <w:rStyle w:val="rynqvb"/>
        </w:rPr>
        <w:t>.</w:t>
      </w:r>
      <w:r>
        <w:rPr>
          <w:rStyle w:val="hwtze"/>
        </w:rPr>
        <w:t xml:space="preserve"> </w:t>
      </w:r>
      <w:r>
        <w:rPr>
          <w:rStyle w:val="rynqvb"/>
        </w:rPr>
        <w:t>2020. Mapa świata.</w:t>
      </w:r>
      <w:r>
        <w:rPr>
          <w:rStyle w:val="hwtze"/>
        </w:rPr>
        <w:t xml:space="preserve"> </w:t>
      </w:r>
      <w:r>
        <w:rPr>
          <w:rStyle w:val="rynqvb"/>
        </w:rPr>
        <w:t>Organizacja Narodów Zjednoczonych.</w:t>
      </w:r>
      <w:r>
        <w:rPr>
          <w:rStyle w:val="hwtze"/>
        </w:rPr>
        <w:t xml:space="preserve"> </w:t>
      </w:r>
      <w:r>
        <w:rPr>
          <w:rStyle w:val="rynqvb"/>
        </w:rPr>
        <w:t xml:space="preserve">Cytowano 9 lutego 2023 r. www.un.org/geospatial/file/3420/download?token=TUP4yDmF zmodyfikowany danymi GLW4.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>Zastrzeżenie: Granice i nazwy pokazane oraz oznaczenia użyte na tych mapach nie oznaczają wyrażenia jakiejkolwiek opinii ze strony FAO na temat statusu prawnego jakiegokolwiek kraju, terytorium, miasta lub obszaru lub jego władz, lub</w:t>
      </w:r>
      <w:r>
        <w:rPr>
          <w:rStyle w:val="hwtze"/>
        </w:rPr>
        <w:t xml:space="preserve"> </w:t>
      </w:r>
      <w:r>
        <w:rPr>
          <w:rStyle w:val="rynqvb"/>
        </w:rPr>
        <w:t>w sprawie wytyczenia jej granic.</w:t>
      </w:r>
      <w:r>
        <w:rPr>
          <w:rStyle w:val="hwtze"/>
        </w:rPr>
        <w:t xml:space="preserve"> </w:t>
      </w:r>
      <w:r>
        <w:rPr>
          <w:rStyle w:val="rynqvb"/>
        </w:rPr>
        <w:t>Linie przerywane na mapach reprezentują przybliżone linie graniczne, co do których być może nie ma jeszcze pełnej zgody.</w:t>
      </w:r>
      <w:r>
        <w:rPr>
          <w:rStyle w:val="hwtze"/>
        </w:rPr>
        <w:t xml:space="preserve"> </w:t>
      </w:r>
      <w:r>
        <w:rPr>
          <w:rStyle w:val="rynqvb"/>
        </w:rPr>
        <w:t xml:space="preserve">Linia przerywana przedstawia w przybliżeniu linię kontroli w </w:t>
      </w:r>
      <w:proofErr w:type="spellStart"/>
      <w:r>
        <w:rPr>
          <w:rStyle w:val="rynqvb"/>
        </w:rPr>
        <w:t>Dżammu</w:t>
      </w:r>
      <w:proofErr w:type="spellEnd"/>
      <w:r>
        <w:rPr>
          <w:rStyle w:val="rynqvb"/>
        </w:rPr>
        <w:t xml:space="preserve"> i Kaszmirze uzgodnioną przez Indie i Pakistan.</w:t>
      </w:r>
      <w:r>
        <w:rPr>
          <w:rStyle w:val="hwtze"/>
        </w:rPr>
        <w:t xml:space="preserve"> </w:t>
      </w:r>
      <w:r>
        <w:rPr>
          <w:rStyle w:val="rynqvb"/>
        </w:rPr>
        <w:t xml:space="preserve">Ostateczny status </w:t>
      </w:r>
      <w:proofErr w:type="spellStart"/>
      <w:r>
        <w:rPr>
          <w:rStyle w:val="rynqvb"/>
        </w:rPr>
        <w:t>Dżammu</w:t>
      </w:r>
      <w:proofErr w:type="spellEnd"/>
      <w:r>
        <w:rPr>
          <w:rStyle w:val="rynqvb"/>
        </w:rPr>
        <w:t xml:space="preserve"> i Kaszmiru nie został jeszcze uzgodniony przez strony.</w:t>
      </w:r>
    </w:p>
    <w:p w:rsidR="006D34E6" w:rsidRDefault="006D34E6">
      <w:pPr>
        <w:rPr>
          <w:rStyle w:val="rynqvb"/>
        </w:rPr>
      </w:pPr>
    </w:p>
    <w:p w:rsidR="006D34E6" w:rsidRDefault="006D34E6">
      <w:pPr>
        <w:rPr>
          <w:rStyle w:val="rynqvb"/>
        </w:rPr>
      </w:pPr>
      <w:r>
        <w:rPr>
          <w:rStyle w:val="rynqvb"/>
        </w:rPr>
        <w:t>W tym obszarze</w:t>
      </w:r>
      <w:r>
        <w:rPr>
          <w:rStyle w:val="rynqvb"/>
        </w:rPr>
        <w:t xml:space="preserve"> okresowo występują niszczycielskie epidemie, a pryszczyca szybko rozprzestrzenia się ponad granicami krajowymi i regionalnymi.</w:t>
      </w:r>
      <w:r>
        <w:rPr>
          <w:rStyle w:val="hwtze"/>
        </w:rPr>
        <w:t xml:space="preserve"> </w:t>
      </w:r>
      <w:r>
        <w:rPr>
          <w:rStyle w:val="rynqvb"/>
        </w:rPr>
        <w:t>Analiza historycznych sekwencji wirusów sugeruje, że zwykle pryszczyca rozprzestrzenia się z Azji Południowo-Środkowej na zachód wzdłuż tak zwanej „Ulicy Przeżuwaczy”, dlatego istnieje poważna obawa, że SAT2 szybko rozprzestrzeni się na inne kraje.</w:t>
      </w:r>
      <w:r>
        <w:rPr>
          <w:rStyle w:val="hwtze"/>
        </w:rPr>
        <w:t xml:space="preserve"> </w:t>
      </w:r>
      <w:r>
        <w:rPr>
          <w:rStyle w:val="rynqvb"/>
        </w:rPr>
        <w:t>W regionie występuje duże zagęszczenie zwierząt gospodarskich, zwłaszcza małych przeżuwaczy.</w:t>
      </w:r>
      <w:r>
        <w:rPr>
          <w:rStyle w:val="hwtze"/>
        </w:rPr>
        <w:t xml:space="preserve"> </w:t>
      </w:r>
      <w:r>
        <w:rPr>
          <w:rStyle w:val="rynqvb"/>
        </w:rPr>
        <w:t>Pryszczyca rozprzestrzenia się na tym obszarze poprzez różne mechanizmy, w tym formalny i nieformalny handel zwierzętami i produktami pochodzenia zwierzęcego, szlaki migracji zwierząt gospodarskich (wypas), wspólne wypasanie oraz poprzez źródła, takie jak odzież, obuwie i pojazdy.</w:t>
      </w:r>
      <w:r>
        <w:rPr>
          <w:rStyle w:val="hwtze"/>
        </w:rPr>
        <w:t xml:space="preserve"> </w:t>
      </w:r>
      <w:r>
        <w:rPr>
          <w:rStyle w:val="rynqvb"/>
        </w:rPr>
        <w:t>Wirus przeżywa szczególnie dobrze podczas chłodniejszej pogody, czego można się spodziewać w ciągu najbliższych kilku miesięcy.</w:t>
      </w:r>
    </w:p>
    <w:p w:rsidR="006D34E6" w:rsidRDefault="006D34E6">
      <w:pPr>
        <w:rPr>
          <w:rStyle w:val="rynqvb"/>
        </w:rPr>
      </w:pPr>
    </w:p>
    <w:p w:rsidR="006D34E6" w:rsidRDefault="006D34E6">
      <w:pPr>
        <w:rPr>
          <w:rStyle w:val="rynqvb"/>
        </w:rPr>
      </w:pPr>
      <w:r>
        <w:rPr>
          <w:rStyle w:val="rynqvb"/>
        </w:rPr>
        <w:lastRenderedPageBreak/>
        <w:t xml:space="preserve">Najważniejsze bezpośrednie zagrożenia rozprzestrzeniania się wirusa SAT2 są związane z przemieszczaniem się zwierząt: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 xml:space="preserve">• W okresie wiosennym związanym ze świętami religijnymi spodziewany jest wzmożony handel i przemieszczanie żywca rzeźnego.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 xml:space="preserve">• Migracja przeżuwaczy na letnie pastwiska wiosną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 xml:space="preserve">• Międzynarodowy i krajowy handel zwierzętami, w szczególności z mieszaniem zwierząt na targowiskach żywych zwierząt, w gospodarstwach i podczas transportu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>Jak wcześniej wspomniano, populacje zwierząt gospodarskich w większości krajów Bliskiego Wschodu i we wszystkich krajach zachodniej Eurazji nie mają odporności na wirusa SAT2 FMD.</w:t>
      </w:r>
      <w:r>
        <w:rPr>
          <w:rStyle w:val="hwtze"/>
        </w:rPr>
        <w:t xml:space="preserve"> </w:t>
      </w:r>
      <w:r>
        <w:rPr>
          <w:rStyle w:val="rynqvb"/>
        </w:rPr>
        <w:t xml:space="preserve">Dopóki nie będą dostępne odpowiednie szczepionki SAT2, tylko szybkie i skuteczne środki </w:t>
      </w:r>
      <w:r>
        <w:rPr>
          <w:rStyle w:val="rynqvb"/>
        </w:rPr>
        <w:t>bioasekuracji</w:t>
      </w:r>
      <w:r>
        <w:rPr>
          <w:rStyle w:val="rynqvb"/>
        </w:rPr>
        <w:t xml:space="preserve"> mogą ograniczyć rozprzestrzenianie się wirusa SAT2.</w:t>
      </w:r>
      <w:r>
        <w:rPr>
          <w:rStyle w:val="hwtze"/>
        </w:rPr>
        <w:t xml:space="preserve"> </w:t>
      </w:r>
      <w:r>
        <w:rPr>
          <w:rStyle w:val="rynqvb"/>
        </w:rPr>
        <w:t xml:space="preserve">Dlatego FAO doradza krajom, aby zwiększyły świadomość, wzmocniły bezpieczeństwo biologiczne i poprawiły gotowość na poziomie krajowym, </w:t>
      </w:r>
      <w:r>
        <w:rPr>
          <w:rStyle w:val="rynqvb"/>
        </w:rPr>
        <w:t>regionalnym</w:t>
      </w:r>
      <w:r>
        <w:rPr>
          <w:rStyle w:val="rynqvb"/>
        </w:rPr>
        <w:t xml:space="preserve"> i społeczności, aby chronić zwierzęta gospodarskie i </w:t>
      </w:r>
      <w:r>
        <w:rPr>
          <w:rStyle w:val="rynqvb"/>
        </w:rPr>
        <w:t xml:space="preserve">ludzkie </w:t>
      </w:r>
      <w:r>
        <w:rPr>
          <w:rStyle w:val="rynqvb"/>
        </w:rPr>
        <w:t xml:space="preserve">źródła utrzymania. </w:t>
      </w:r>
    </w:p>
    <w:p w:rsidR="006D34E6" w:rsidRDefault="006D34E6">
      <w:pPr>
        <w:rPr>
          <w:rStyle w:val="rynqvb"/>
        </w:rPr>
      </w:pPr>
    </w:p>
    <w:p w:rsidR="006D34E6" w:rsidRDefault="006D34E6">
      <w:pPr>
        <w:rPr>
          <w:rStyle w:val="rynqvb"/>
        </w:rPr>
      </w:pPr>
      <w:r>
        <w:rPr>
          <w:rStyle w:val="rynqvb"/>
        </w:rPr>
        <w:t xml:space="preserve">ZALECENIA FAO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>• Kraje powinny ocenić drogi</w:t>
      </w:r>
      <w:r>
        <w:rPr>
          <w:rStyle w:val="rynqvb"/>
        </w:rPr>
        <w:t xml:space="preserve">, które w przeszłości doprowadziły do wprowadzenia i rozprzestrzeniania się pryszczycy oraz zaplanować interwencje w celu zminimalizowania wprowadzenia i </w:t>
      </w:r>
      <w:r>
        <w:rPr>
          <w:rStyle w:val="rynqvb"/>
        </w:rPr>
        <w:t xml:space="preserve">ewentualnego </w:t>
      </w:r>
      <w:r>
        <w:rPr>
          <w:rStyle w:val="rynqvb"/>
        </w:rPr>
        <w:t>rozprzestrzeniania się wirusa.</w:t>
      </w:r>
      <w:r>
        <w:rPr>
          <w:rStyle w:val="hwtze"/>
        </w:rPr>
        <w:t xml:space="preserve"> </w:t>
      </w:r>
      <w:r>
        <w:rPr>
          <w:rStyle w:val="rynqvb"/>
        </w:rPr>
        <w:t xml:space="preserve">Może to obejmować przygotowanie do zakupu i awaryjnego rozmieszczenia szczepionki chroniącej przed </w:t>
      </w:r>
      <w:proofErr w:type="spellStart"/>
      <w:r>
        <w:rPr>
          <w:rStyle w:val="rynqvb"/>
        </w:rPr>
        <w:t>serotypem</w:t>
      </w:r>
      <w:proofErr w:type="spellEnd"/>
      <w:r>
        <w:rPr>
          <w:rStyle w:val="rynqvb"/>
        </w:rPr>
        <w:t xml:space="preserve"> SAT2.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>• Należy zintensyfikować kontrole na granicach międzynarodowych, w ramach krajowych granic administracyjnych i na trasach ruchu w oparciu o analizę ryzyka, aby zminimalizować ryzyko wprowadzenia potencjalnie zakażonych zwierząt i skażonych produktów pochodzenia zwierzęcego.</w:t>
      </w:r>
      <w:r>
        <w:rPr>
          <w:rStyle w:val="hwtze"/>
        </w:rPr>
        <w:t xml:space="preserve"> </w:t>
      </w:r>
      <w:r>
        <w:rPr>
          <w:rStyle w:val="rynqvb"/>
        </w:rPr>
        <w:t xml:space="preserve">Kary za nieprzestrzeganie przepisów mogą zostać podwyższone.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 xml:space="preserve">• Kraje powinny zweryfikować: </w:t>
      </w:r>
    </w:p>
    <w:p w:rsidR="006D34E6" w:rsidRDefault="006D34E6" w:rsidP="006D34E6">
      <w:pPr>
        <w:pStyle w:val="Akapitzlist"/>
        <w:numPr>
          <w:ilvl w:val="0"/>
          <w:numId w:val="1"/>
        </w:numPr>
        <w:rPr>
          <w:rStyle w:val="rynqvb"/>
        </w:rPr>
      </w:pPr>
      <w:r>
        <w:rPr>
          <w:rStyle w:val="rynqvb"/>
        </w:rPr>
        <w:t>czy</w:t>
      </w:r>
      <w:r>
        <w:rPr>
          <w:rStyle w:val="rynqvb"/>
        </w:rPr>
        <w:t xml:space="preserve"> istnieje plan awaryjny </w:t>
      </w:r>
      <w:r>
        <w:rPr>
          <w:rStyle w:val="rynqvb"/>
        </w:rPr>
        <w:t xml:space="preserve">w wypadku wybuchu </w:t>
      </w:r>
      <w:r>
        <w:rPr>
          <w:rStyle w:val="rynqvb"/>
        </w:rPr>
        <w:t xml:space="preserve">pryszczycy, zawierający standardowe procedury operacyjne dotyczące nadzoru i zwalczania ognisk. </w:t>
      </w:r>
    </w:p>
    <w:p w:rsidR="006D34E6" w:rsidRDefault="006D34E6" w:rsidP="006D34E6">
      <w:pPr>
        <w:pStyle w:val="Akapitzlist"/>
        <w:numPr>
          <w:ilvl w:val="0"/>
          <w:numId w:val="1"/>
        </w:numPr>
        <w:rPr>
          <w:rStyle w:val="rynqvb"/>
        </w:rPr>
      </w:pPr>
      <w:r>
        <w:rPr>
          <w:rStyle w:val="rynqvb"/>
        </w:rPr>
        <w:t>aby laboratoria były w stanie szybko potwierdzić podejrzane przypadki,</w:t>
      </w:r>
      <w:r>
        <w:rPr>
          <w:rStyle w:val="rynqvb"/>
        </w:rPr>
        <w:t xml:space="preserve"> w tym określić </w:t>
      </w:r>
      <w:proofErr w:type="spellStart"/>
      <w:r>
        <w:rPr>
          <w:rStyle w:val="rynqvb"/>
        </w:rPr>
        <w:t>serotyp</w:t>
      </w:r>
      <w:proofErr w:type="spellEnd"/>
      <w:r>
        <w:rPr>
          <w:rStyle w:val="rynqvb"/>
        </w:rPr>
        <w:t xml:space="preserve"> powodujący zakażenia</w:t>
      </w:r>
      <w:r>
        <w:rPr>
          <w:rStyle w:val="rynqvb"/>
        </w:rPr>
        <w:t xml:space="preserve">.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 xml:space="preserve">• Poprzez kampanie uświadamiające, rolnicy i </w:t>
      </w:r>
      <w:r>
        <w:rPr>
          <w:rStyle w:val="rynqvb"/>
        </w:rPr>
        <w:t xml:space="preserve">inne </w:t>
      </w:r>
      <w:r>
        <w:rPr>
          <w:rStyle w:val="rynqvb"/>
        </w:rPr>
        <w:t>społeczności powinni być informowani o zwiększonym zagrożeniu pryszczycą i środkach, które mogą podjąć w celu ochrony swojego inwentarza.</w:t>
      </w:r>
      <w:r>
        <w:rPr>
          <w:rStyle w:val="hwtze"/>
        </w:rPr>
        <w:t xml:space="preserve"> </w:t>
      </w:r>
      <w:r>
        <w:rPr>
          <w:rStyle w:val="rynqvb"/>
        </w:rPr>
        <w:t xml:space="preserve">Należy wzmocnić środki bezpieczeństwa biologicznego w gospodarstwach rolnych i w handlu żywym inwentarzem: </w:t>
      </w:r>
    </w:p>
    <w:p w:rsidR="006D34E6" w:rsidRDefault="006D34E6" w:rsidP="006D34E6">
      <w:pPr>
        <w:pStyle w:val="Akapitzlist"/>
        <w:numPr>
          <w:ilvl w:val="0"/>
          <w:numId w:val="5"/>
        </w:numPr>
        <w:rPr>
          <w:rStyle w:val="rynqvb"/>
        </w:rPr>
      </w:pPr>
      <w:r>
        <w:rPr>
          <w:rStyle w:val="rynqvb"/>
        </w:rPr>
        <w:t>Chore zwierzęta powinny zostać zbadane przez lekarza weterynarii i oddzielone od innych zwierząt gospodarskich.</w:t>
      </w:r>
      <w:r>
        <w:rPr>
          <w:rStyle w:val="hwtze"/>
        </w:rPr>
        <w:t xml:space="preserve"> </w:t>
      </w:r>
      <w:r>
        <w:rPr>
          <w:rStyle w:val="rynqvb"/>
        </w:rPr>
        <w:t xml:space="preserve">Nigdy nie należy ich przenosić na duże odległości ani sprzedawać. </w:t>
      </w:r>
    </w:p>
    <w:p w:rsidR="006D34E6" w:rsidRDefault="006D34E6" w:rsidP="006D34E6">
      <w:pPr>
        <w:pStyle w:val="Akapitzlist"/>
        <w:numPr>
          <w:ilvl w:val="0"/>
          <w:numId w:val="5"/>
        </w:numPr>
        <w:rPr>
          <w:rStyle w:val="rynqvb"/>
        </w:rPr>
      </w:pPr>
      <w:r>
        <w:rPr>
          <w:rStyle w:val="rynqvb"/>
        </w:rPr>
        <w:t xml:space="preserve">Przemieszczanie się i mieszanie zwierząt powinno być ograniczone do minimum. </w:t>
      </w:r>
    </w:p>
    <w:p w:rsidR="006D34E6" w:rsidRDefault="006D34E6" w:rsidP="006D34E6">
      <w:pPr>
        <w:pStyle w:val="Akapitzlist"/>
        <w:numPr>
          <w:ilvl w:val="0"/>
          <w:numId w:val="5"/>
        </w:numPr>
        <w:rPr>
          <w:rStyle w:val="rynqvb"/>
        </w:rPr>
      </w:pPr>
      <w:r>
        <w:rPr>
          <w:rStyle w:val="rynqvb"/>
        </w:rPr>
        <w:t>Należy unikać wprowadzania żywego inwentarza z nieznanych źródeł.</w:t>
      </w:r>
      <w:r>
        <w:rPr>
          <w:rStyle w:val="hwtze"/>
        </w:rPr>
        <w:t xml:space="preserve"> </w:t>
      </w:r>
      <w:r>
        <w:rPr>
          <w:rStyle w:val="rynqvb"/>
        </w:rPr>
        <w:t>Każde nowe stado powinno zostać sprawdzone przed wprowadzeniem, aby upewnić się, że wygląda na zdrowe i należy przestrzegać 7-14-dniowego okresu kwarantanny przed dopuszczeniem do kontaktu z resztą stada (</w:t>
      </w:r>
      <w:r>
        <w:rPr>
          <w:rStyle w:val="rynqvb"/>
        </w:rPr>
        <w:t>okres</w:t>
      </w:r>
      <w:r>
        <w:rPr>
          <w:rStyle w:val="rynqvb"/>
        </w:rPr>
        <w:t xml:space="preserve"> inkubacji pryszczycy). </w:t>
      </w:r>
    </w:p>
    <w:p w:rsidR="006D34E6" w:rsidRDefault="006D34E6" w:rsidP="006D34E6">
      <w:pPr>
        <w:pStyle w:val="Akapitzlist"/>
        <w:numPr>
          <w:ilvl w:val="1"/>
          <w:numId w:val="6"/>
        </w:numPr>
        <w:ind w:left="851"/>
        <w:rPr>
          <w:rStyle w:val="rynqvb"/>
        </w:rPr>
      </w:pPr>
      <w:r>
        <w:rPr>
          <w:rStyle w:val="rynqvb"/>
        </w:rPr>
        <w:lastRenderedPageBreak/>
        <w:t xml:space="preserve">Podczas pracy ze zwierzętami należy nosić czyste obuwie i odzież, a odwiedzający nie powinni mieć kontaktu ze zwierzętami. </w:t>
      </w:r>
    </w:p>
    <w:p w:rsidR="006D34E6" w:rsidRDefault="006D34E6" w:rsidP="006D34E6">
      <w:pPr>
        <w:pStyle w:val="Akapitzlist"/>
        <w:numPr>
          <w:ilvl w:val="1"/>
          <w:numId w:val="6"/>
        </w:numPr>
        <w:ind w:left="851"/>
        <w:rPr>
          <w:rStyle w:val="rynqvb"/>
        </w:rPr>
      </w:pPr>
      <w:r>
        <w:rPr>
          <w:rStyle w:val="rynqvb"/>
        </w:rPr>
        <w:t xml:space="preserve">Należy unikać mieszania różnych przesyłek podczas transportu i na </w:t>
      </w:r>
      <w:r>
        <w:rPr>
          <w:rStyle w:val="rynqvb"/>
        </w:rPr>
        <w:t>targach</w:t>
      </w:r>
      <w:r>
        <w:rPr>
          <w:rStyle w:val="rynqvb"/>
        </w:rPr>
        <w:t>.</w:t>
      </w:r>
      <w:r>
        <w:rPr>
          <w:rStyle w:val="hwtze"/>
        </w:rPr>
        <w:t xml:space="preserve"> </w:t>
      </w:r>
      <w:r>
        <w:rPr>
          <w:rStyle w:val="hwtze"/>
        </w:rPr>
        <w:t>Targi handlowe</w:t>
      </w:r>
      <w:r>
        <w:rPr>
          <w:rStyle w:val="rynqvb"/>
        </w:rPr>
        <w:t xml:space="preserve"> powinny być dokładnie czyszczone i opróżniane między </w:t>
      </w:r>
      <w:r>
        <w:rPr>
          <w:rStyle w:val="rynqvb"/>
        </w:rPr>
        <w:t>sprzedażami</w:t>
      </w:r>
      <w:r>
        <w:rPr>
          <w:rStyle w:val="rynqvb"/>
        </w:rPr>
        <w:t xml:space="preserve"> (dni odpoczynku).</w:t>
      </w:r>
      <w:r>
        <w:rPr>
          <w:rStyle w:val="hwtze"/>
        </w:rPr>
        <w:t xml:space="preserve"> </w:t>
      </w:r>
      <w:r>
        <w:rPr>
          <w:rStyle w:val="rynqvb"/>
        </w:rPr>
        <w:t>Należy rozważyć zatrzymanie inwentarza żywego, zwłaszcza jeśli istnieje podejrzenie pryszczycy.</w:t>
      </w:r>
    </w:p>
    <w:p w:rsidR="006D34E6" w:rsidRDefault="006D34E6">
      <w:pPr>
        <w:rPr>
          <w:rStyle w:val="rynqvb"/>
        </w:rPr>
      </w:pPr>
      <w:r>
        <w:rPr>
          <w:rStyle w:val="rynqvb"/>
        </w:rPr>
        <w:t xml:space="preserve">• Należy podjąć kroki w celu usprawnienia wczesnego wykrywania, aby można było wdrożyć odpowiednie środki zapobiegawcze i kontrolne: </w:t>
      </w:r>
    </w:p>
    <w:p w:rsidR="006D34E6" w:rsidRDefault="006D34E6" w:rsidP="006D34E6">
      <w:pPr>
        <w:pStyle w:val="Akapitzlist"/>
        <w:numPr>
          <w:ilvl w:val="1"/>
          <w:numId w:val="7"/>
        </w:numPr>
        <w:ind w:left="851"/>
        <w:rPr>
          <w:rStyle w:val="rynqvb"/>
        </w:rPr>
      </w:pPr>
      <w:r>
        <w:rPr>
          <w:rStyle w:val="rynqvb"/>
        </w:rPr>
        <w:t>Należy poinformować rolników i lekarzy weterynarii</w:t>
      </w:r>
      <w:r>
        <w:rPr>
          <w:rStyle w:val="rynqvb"/>
        </w:rPr>
        <w:t xml:space="preserve"> wolnej praktyki</w:t>
      </w:r>
      <w:r>
        <w:rPr>
          <w:rStyle w:val="rynqvb"/>
        </w:rPr>
        <w:t>, aby niezwłocznie zgłaszali służbom weterynaryjnym wszelkie podejrzane objawy kliniczne.</w:t>
      </w:r>
      <w:r>
        <w:rPr>
          <w:rStyle w:val="hwtze"/>
        </w:rPr>
        <w:t xml:space="preserve"> </w:t>
      </w:r>
      <w:r>
        <w:rPr>
          <w:rStyle w:val="rynqvb"/>
        </w:rPr>
        <w:t xml:space="preserve">Takie zgłaszanie powinno być jak najbardziej ułatwione przez służby weterynaryjne (np. poprzez dedykowany numer telefonu lub stronę internetową). </w:t>
      </w:r>
    </w:p>
    <w:p w:rsidR="006D34E6" w:rsidRDefault="006D34E6" w:rsidP="006D34E6">
      <w:pPr>
        <w:pStyle w:val="Akapitzlist"/>
        <w:numPr>
          <w:ilvl w:val="1"/>
          <w:numId w:val="7"/>
        </w:numPr>
        <w:ind w:left="851"/>
        <w:rPr>
          <w:rStyle w:val="rynqvb"/>
        </w:rPr>
      </w:pPr>
      <w:r>
        <w:rPr>
          <w:rStyle w:val="rynqvb"/>
        </w:rPr>
        <w:t>Należy wdrożyć systemy monitorowania i wczesnego ostrzegania w oparciu o doniesienia o zwiększonej śmiertelności (zwłaszcza młodych osobników), obserwacje w rzeźniach lub panicznej wyprzedaży, z wykorzystaniem info</w:t>
      </w:r>
      <w:r>
        <w:rPr>
          <w:rStyle w:val="rynqvb"/>
        </w:rPr>
        <w:t>rmacji od rolników, handlowców</w:t>
      </w:r>
      <w:bookmarkStart w:id="0" w:name="_GoBack"/>
      <w:bookmarkEnd w:id="0"/>
      <w:r>
        <w:rPr>
          <w:rStyle w:val="rynqvb"/>
        </w:rPr>
        <w:t xml:space="preserve">, inspektorów i odpowiednich portali społecznościowych. </w:t>
      </w:r>
    </w:p>
    <w:p w:rsidR="006D34E6" w:rsidRDefault="006D34E6" w:rsidP="006D34E6">
      <w:pPr>
        <w:ind w:left="709"/>
        <w:rPr>
          <w:rStyle w:val="rynqvb"/>
        </w:rPr>
      </w:pPr>
    </w:p>
    <w:p w:rsidR="006D34E6" w:rsidRDefault="006D34E6">
      <w:pPr>
        <w:rPr>
          <w:rStyle w:val="rynqvb"/>
        </w:rPr>
      </w:pPr>
      <w:r>
        <w:rPr>
          <w:rStyle w:val="rynqvb"/>
        </w:rPr>
        <w:t>Poprzez swój Dział Produkcji i Zdrowia Zwierząt oraz operacje współpracy technicznej z partnerami instytucjonalnymi, FAO pozostaje w pełni zaangażowana we wspieranie Państw Członkowskich w celu zwiększenia ich gotowości i zdolności zarządzania kryzysowego.</w:t>
      </w:r>
    </w:p>
    <w:p w:rsidR="006D34E6" w:rsidRDefault="006D34E6">
      <w:pPr>
        <w:rPr>
          <w:rStyle w:val="rynqvb"/>
        </w:rPr>
      </w:pPr>
    </w:p>
    <w:p w:rsidR="006D34E6" w:rsidRDefault="006D34E6">
      <w:pPr>
        <w:rPr>
          <w:rStyle w:val="rynqvb"/>
        </w:rPr>
      </w:pPr>
      <w:r>
        <w:rPr>
          <w:rStyle w:val="rynqvb"/>
        </w:rPr>
        <w:t>Przydatne linki</w:t>
      </w:r>
      <w:r>
        <w:rPr>
          <w:rStyle w:val="rynqvb"/>
        </w:rPr>
        <w:t>:</w:t>
      </w:r>
      <w:r>
        <w:rPr>
          <w:rStyle w:val="rynqvb"/>
        </w:rPr>
        <w:t xml:space="preserve">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 xml:space="preserve">Wprowadzenie do pryszczycy (kurs online) </w:t>
      </w:r>
    </w:p>
    <w:p w:rsidR="006D34E6" w:rsidRDefault="006D34E6">
      <w:pPr>
        <w:rPr>
          <w:rStyle w:val="rynqvb"/>
        </w:rPr>
      </w:pPr>
      <w:hyperlink r:id="rId8" w:history="1">
        <w:r w:rsidRPr="00FF2EA2">
          <w:rPr>
            <w:rStyle w:val="Hipercze"/>
          </w:rPr>
          <w:t>https://elearning.fao.org/course/view.php?id=902</w:t>
        </w:r>
      </w:hyperlink>
      <w:r>
        <w:rPr>
          <w:rStyle w:val="rynqvb"/>
        </w:rPr>
        <w:t xml:space="preserve">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 xml:space="preserve">Co należy wiedzieć o pryszczycy w kraju endemicznym (wideo 2022) </w:t>
      </w:r>
      <w:hyperlink r:id="rId9" w:history="1">
        <w:r w:rsidRPr="00FF2EA2">
          <w:rPr>
            <w:rStyle w:val="Hipercze"/>
          </w:rPr>
          <w:t>https://www.youtube.com/watch?v=6uuUcA60q5U</w:t>
        </w:r>
      </w:hyperlink>
      <w:r>
        <w:rPr>
          <w:rStyle w:val="rynqvb"/>
        </w:rPr>
        <w:t xml:space="preserve">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 xml:space="preserve">Szczepienia przeciwko pryszczycy i monitoring poszczepienny (FAO i WOAH 2016) </w:t>
      </w:r>
      <w:hyperlink r:id="rId10" w:history="1">
        <w:r w:rsidRPr="00FF2EA2">
          <w:rPr>
            <w:rStyle w:val="Hipercze"/>
          </w:rPr>
          <w:t>https://www.fao.org/3/i5975e/I5975E.pdf</w:t>
        </w:r>
      </w:hyperlink>
      <w:r>
        <w:rPr>
          <w:rStyle w:val="rynqvb"/>
        </w:rPr>
        <w:t xml:space="preserve">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>Raporty kwartalne dotyczące pryszczycy (</w:t>
      </w:r>
      <w:proofErr w:type="spellStart"/>
      <w:r>
        <w:rPr>
          <w:rStyle w:val="rynqvb"/>
        </w:rPr>
        <w:t>EuFMD</w:t>
      </w:r>
      <w:proofErr w:type="spellEnd"/>
      <w:r>
        <w:rPr>
          <w:rStyle w:val="rynqvb"/>
        </w:rPr>
        <w:t xml:space="preserve"> i WRLFMD) </w:t>
      </w:r>
    </w:p>
    <w:p w:rsidR="006D34E6" w:rsidRDefault="006D34E6">
      <w:pPr>
        <w:rPr>
          <w:rStyle w:val="rynqvb"/>
        </w:rPr>
      </w:pPr>
      <w:hyperlink r:id="rId11" w:history="1">
        <w:r w:rsidRPr="00FF2EA2">
          <w:rPr>
            <w:rStyle w:val="Hipercze"/>
          </w:rPr>
          <w:t>https://www.wrlfmd.org/ref-lab-reports</w:t>
        </w:r>
      </w:hyperlink>
      <w:r>
        <w:rPr>
          <w:rStyle w:val="rynqvb"/>
        </w:rPr>
        <w:t xml:space="preserve">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 xml:space="preserve">Progresywna Ścieżka Kontroli dla Wytycznych FMD (FAO i WOAH 2018) </w:t>
      </w:r>
      <w:hyperlink r:id="rId12" w:history="1">
        <w:r w:rsidRPr="00FF2EA2">
          <w:rPr>
            <w:rStyle w:val="Hipercze"/>
          </w:rPr>
          <w:t>https://www.fao.org/3/CA1331EN/ca1331en.pdf</w:t>
        </w:r>
      </w:hyperlink>
      <w:r>
        <w:rPr>
          <w:rStyle w:val="rynqvb"/>
        </w:rPr>
        <w:t xml:space="preserve">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 xml:space="preserve">Awaryjny zestaw narzędzi </w:t>
      </w:r>
      <w:proofErr w:type="spellStart"/>
      <w:r>
        <w:rPr>
          <w:rStyle w:val="rynqvb"/>
        </w:rPr>
        <w:t>EuFMD</w:t>
      </w:r>
      <w:proofErr w:type="spellEnd"/>
      <w:r>
        <w:rPr>
          <w:rStyle w:val="rynqvb"/>
        </w:rPr>
        <w:t xml:space="preserve"> </w:t>
      </w:r>
    </w:p>
    <w:p w:rsidR="006D34E6" w:rsidRDefault="006D34E6">
      <w:pPr>
        <w:rPr>
          <w:rStyle w:val="rynqvb"/>
        </w:rPr>
      </w:pPr>
      <w:hyperlink r:id="rId13" w:history="1">
        <w:r w:rsidRPr="00FF2EA2">
          <w:rPr>
            <w:rStyle w:val="Hipercze"/>
          </w:rPr>
          <w:t>https://trello.com/b/RNA1zSan/eufmd-emergency-toolbox</w:t>
        </w:r>
      </w:hyperlink>
      <w:r>
        <w:rPr>
          <w:rStyle w:val="rynqvb"/>
        </w:rPr>
        <w:t xml:space="preserve"> </w:t>
      </w:r>
    </w:p>
    <w:p w:rsidR="006D34E6" w:rsidRDefault="006D34E6">
      <w:pPr>
        <w:rPr>
          <w:rStyle w:val="rynqvb"/>
        </w:rPr>
      </w:pPr>
      <w:r>
        <w:rPr>
          <w:rStyle w:val="rynqvb"/>
        </w:rPr>
        <w:t>Wytyczne postępowania z tuszami.</w:t>
      </w:r>
      <w:r>
        <w:rPr>
          <w:rStyle w:val="hwtze"/>
        </w:rPr>
        <w:t xml:space="preserve"> </w:t>
      </w:r>
      <w:r>
        <w:rPr>
          <w:rStyle w:val="rynqvb"/>
        </w:rPr>
        <w:t>Efektywna utylizacja zwłok zwierzęcych i zanieczyszczonych materiałów w małych i średnich gospodarstwach (Wytyczne FAO 2020)</w:t>
      </w:r>
    </w:p>
    <w:p w:rsidR="006D34E6" w:rsidRDefault="006D34E6">
      <w:hyperlink r:id="rId14" w:history="1">
        <w:r w:rsidRPr="00FF2EA2">
          <w:rPr>
            <w:rStyle w:val="Hipercze"/>
          </w:rPr>
          <w:t>https://www.fao.org/3/cb2464en/CB2464EN.pdf</w:t>
        </w:r>
      </w:hyperlink>
      <w:r>
        <w:rPr>
          <w:rStyle w:val="rynqvb"/>
        </w:rPr>
        <w:t xml:space="preserve"> </w:t>
      </w:r>
    </w:p>
    <w:sectPr w:rsidR="006D34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220E4"/>
    <w:multiLevelType w:val="hybridMultilevel"/>
    <w:tmpl w:val="4CFE259A"/>
    <w:lvl w:ilvl="0" w:tplc="117C3F0E">
      <w:numFmt w:val="bullet"/>
      <w:lvlText w:val=""/>
      <w:lvlJc w:val="left"/>
      <w:pPr>
        <w:ind w:left="1069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EF44AEC"/>
    <w:multiLevelType w:val="hybridMultilevel"/>
    <w:tmpl w:val="FAEE1E02"/>
    <w:lvl w:ilvl="0" w:tplc="041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3256FD1"/>
    <w:multiLevelType w:val="hybridMultilevel"/>
    <w:tmpl w:val="E320C482"/>
    <w:lvl w:ilvl="0" w:tplc="041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1E52FA5"/>
    <w:multiLevelType w:val="hybridMultilevel"/>
    <w:tmpl w:val="105CDB64"/>
    <w:lvl w:ilvl="0" w:tplc="254418A4">
      <w:numFmt w:val="bullet"/>
      <w:lvlText w:val=""/>
      <w:lvlJc w:val="left"/>
      <w:pPr>
        <w:ind w:left="1495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37579A9"/>
    <w:multiLevelType w:val="hybridMultilevel"/>
    <w:tmpl w:val="ADE0F396"/>
    <w:lvl w:ilvl="0" w:tplc="254418A4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6CC21454"/>
    <w:multiLevelType w:val="hybridMultilevel"/>
    <w:tmpl w:val="16704278"/>
    <w:lvl w:ilvl="0" w:tplc="041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BF778B9"/>
    <w:multiLevelType w:val="hybridMultilevel"/>
    <w:tmpl w:val="31EEE5F8"/>
    <w:lvl w:ilvl="0" w:tplc="0415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130ED5E">
      <w:numFmt w:val="bullet"/>
      <w:lvlText w:val=""/>
      <w:lvlJc w:val="left"/>
      <w:pPr>
        <w:ind w:left="1789" w:hanging="360"/>
      </w:pPr>
      <w:rPr>
        <w:rFonts w:ascii="Symbol" w:eastAsiaTheme="minorHAnsi" w:hAnsi="Symbol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4E6"/>
    <w:rsid w:val="004F07D6"/>
    <w:rsid w:val="006D3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9281FF-6D73-4493-8640-9120BB858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6D34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rynqvb">
    <w:name w:val="rynqvb"/>
    <w:basedOn w:val="Domylnaczcionkaakapitu"/>
    <w:rsid w:val="006D34E6"/>
  </w:style>
  <w:style w:type="character" w:customStyle="1" w:styleId="hwtze">
    <w:name w:val="hwtze"/>
    <w:basedOn w:val="Domylnaczcionkaakapitu"/>
    <w:rsid w:val="006D34E6"/>
  </w:style>
  <w:style w:type="character" w:styleId="Hipercze">
    <w:name w:val="Hyperlink"/>
    <w:basedOn w:val="Domylnaczcionkaakapitu"/>
    <w:uiPriority w:val="99"/>
    <w:unhideWhenUsed/>
    <w:rsid w:val="006D34E6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6D34E6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hgkelc">
    <w:name w:val="hgkelc"/>
    <w:basedOn w:val="Domylnaczcionkaakapitu"/>
    <w:rsid w:val="006D34E6"/>
  </w:style>
  <w:style w:type="paragraph" w:styleId="Akapitzlist">
    <w:name w:val="List Paragraph"/>
    <w:basedOn w:val="Normalny"/>
    <w:uiPriority w:val="34"/>
    <w:qFormat/>
    <w:rsid w:val="006D3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2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earning.fao.org/course/view.php?id=902" TargetMode="External"/><Relationship Id="rId13" Type="http://schemas.openxmlformats.org/officeDocument/2006/relationships/hyperlink" Target="https://trello.com/b/RNA1zSan/eufmd-emergency-toolbo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s://www.fao.org/3/CA1331EN/ca1331en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www.wrlfmd.org/ref-lab-reports" TargetMode="External"/><Relationship Id="rId5" Type="http://schemas.openxmlformats.org/officeDocument/2006/relationships/hyperlink" Target="https://data.apps.fao.org/catalog//iso/15f8c56c-5499-45d5-bd89-59ef6c026704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fao.org/3/i5975e/I5975E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uuUcA60q5U" TargetMode="External"/><Relationship Id="rId14" Type="http://schemas.openxmlformats.org/officeDocument/2006/relationships/hyperlink" Target="https://www.fao.org/3/cb2464en/CB2464EN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5</Pages>
  <Words>1726</Words>
  <Characters>10360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Aftyka</dc:creator>
  <cp:keywords/>
  <dc:description/>
  <cp:lastModifiedBy>Magdalena Aftyka</cp:lastModifiedBy>
  <cp:revision>1</cp:revision>
  <dcterms:created xsi:type="dcterms:W3CDTF">2023-02-14T09:47:00Z</dcterms:created>
  <dcterms:modified xsi:type="dcterms:W3CDTF">2023-02-14T14:40:00Z</dcterms:modified>
</cp:coreProperties>
</file>